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2008/21 vom 20. Mai 2009</w:t>
      </w:r>
    </w:p>
    <w:p>
      <w:r>
        <w:t>Sg Versicherungsgericht, 2009-05-20, DE</w:t>
      </w:r>
    </w:p>
    <w:p>
      <w:r>
        <w:rPr>
          <w:b/>
        </w:rPr>
        <w:t xml:space="preserve">Quelle: </w:t>
      </w:r>
      <w:r>
        <w:t>https://mcp.opencaselaw.ch/entscheid/sg_publikationen_AHV 2008_21</w:t>
      </w:r>
    </w:p>
    <w:p>
      <w:r>
        <w:t>FR: SG_VERSICHERUNGSGERICHT AHV 2008/21 du 20 mai 2009</w:t>
      </w:r>
    </w:p>
    <w:p>
      <w:r>
        <w:t>IT: SG_VERSICHERUNGSGERICHT AHV 2008/21 del 20 maggio 2009</w:t>
      </w:r>
    </w:p>
    <w:p>
      <w:pPr>
        <w:pStyle w:val="Heading2"/>
      </w:pPr>
      <w:r>
        <w:t>Regeste</w:t>
      </w:r>
    </w:p>
    <w:p>
      <w:r>
        <w:t>Art. 11 Abs. 2 AHVG, Erlass von AHV/IV/EO-Mindestbeiträgen. Grosse Härte als Voraussetzung für den Erlass ist gegeben, wenn bei Bezahlung das betreibungsrechtliche Existenzminimum unterschritten würde. Dabei ist die gesamte wirtschaftliche Situation der versicherten Person zu berücksichtigen. In zeitlicher Hinsicht rechtfertigt es sich bei der Beurteilung der grossen Härte auf die aktuellen ökonomischen Verhältnisse abzustellen (Entscheid des Versicherungsgerichts des Kantons St. Gallen vom 20. Mai 2009, AHV 2008/21).</w:t>
      </w:r>
    </w:p>
    <w:p>
      <w:pPr>
        <w:pStyle w:val="Heading2"/>
      </w:pPr>
      <w:r>
        <w:t>Erwägungen</w:t>
      </w:r>
    </w:p>
    <w:p>
      <w:r>
        <w:rPr>
          <w:b/>
        </w:rPr>
        <w:t>E. 1</w:t>
      </w:r>
    </w:p>
    <w:p>
      <w:r>
        <w:t>Der Mindestbeitrag, dessen Bezahlung für die obligatorisch Versicherten eine grosse Härte bedeutet, kann erlassen werden (Art. 11 Abs. 2 AHVG). Art. 11 Abs. 2 AHVG gilt unverändert seit Inkraftsetzung der AHV-Gesetzgebung, weshalb die seither ergangene Rechtsprechung zu berücksichtigen ist. Bereits im Jahre 1951 erkannte das Eidgenössische Versicherungsgericht (EVG; seit 1. Januar 2007: Bundesgericht), dass es sich dabei um eine aussergewöhnliche Massnahme handelt, die im Allgemeinen auf die Fälle "notorischer Armengenössigkeit, bzw. auf diejenigen Versicherten beschränkt" sei, deren Unterhalt ganz oder teilweise ohnehin zu Lasten der Öffentlichkeit oder gemeinnütziger Institutionen gehe (EVGE 1951, 29ff., 31). Dementsprechend wird in der einschlägigen Verwaltungsweisung davon ausgegangen, dass es sich beim Erlass des Mindestbeitrags um eine aussergewöhnliche Massnahme handelt, die nur in Frage kommt, wenn die versicherte Person in grosser Armut lebt und Sozialhilfe bezieht (Wegleitung über die Beiträge der Selbstständigerwerbenden und Nichterwerbstätigen in der AHV, IV und EO [WSN, Fassung gültig ab 1. Januar 2008], Rz 3073; Ueli Kieser, Rechtsprechung des Bundesgerichtes zum AHVG, S. 116). Die grosse Härte ist nach der Rechtsprechung gegeben, wenn bei Bezahlung des Mindestbeitrages das betreibungsrechtliche Existenzminimum der versicherten Person unterschritten würde (BGE 113 V 252, E. 3a, mit Hinweisen). Bei der Ermittlung des betreibungsrechtlichen Existenzminimums ist die gesamte wirtschaftliche Situation der versicherten Person, einschliesslich der Einkommens- und Vermögensverhältnisse des Ehegatten und der im gemeinsamen Haushalt lebenden Personen, zu berücksichtigen (ZAK 1981, 545; BGE 113 V 252, E. 3a, mit Hinweisen). Dabei ist ein Konkubinatsverhältnis, aus dem Kinder hervorgegangen sind, hinsichtlich der Ermittlung des Existenzminimums im Wesentlichen gleich zu behandeln wie ein eheliches Familienverhältnis (BGE 130 III 766 f. mit Hinweisen; BGE 106 III 11 E. 3c und d).</w:t>
      </w:r>
    </w:p>
    <w:p>
      <w:r>
        <w:rPr>
          <w:b/>
        </w:rPr>
        <w:t>E. 2</w:t>
      </w:r>
    </w:p>
    <w:p>
      <w:r>
        <w:t>2.1   Vorliegend ist strittig, ob eine grosse Härte als Voraussetzung für einen Erlass der Mindestbeiträge für die Jahre 2005 bis 2007 gegeben ist. 2.2   Der Empfehlung der Gemeinde Z.___ folgend, lehnte die Beschwerdegegnerin einen Erlass der Mindestbeiträge ab, weil die Versicherte keine Sozialhilfe beziehe und ihr Lebensunterhalt sowie derjenige ihres Sohnes von ihrem Konkubinatspartner finanziert werde (act. G5.1/9). Während sich die Beschwerdegegnerin bei der Beurteilung der grossen Härte in ihrem Einspracheentscheid auf ein monatliches Erwerbseinkommen von Fr. 2'000.-- der Beschwerdeführerin im Jahre 2008 stützte (act. G5.1/19), zieht sie in ihrer Beschwerdeantwort gestützt auf eine IPV-Verfügung ein jährliches Reineinkommen des Konkubinatspartners von Fr. 55'491.-- im Jahre 2006 heran, weil auf die wirtschaftlichen Verhältnisse jener Person abzustellen sei, die für den Unterhalt aufkomme (act. G5). Nach eigenen Angaben verdient die Beschwerdeführerin zwischen Fr. 800.-- und Fr. 2'200.-- pro Monat und hat kein Vermögen (act. G3). Die tatsächliche wirtschaftliche Situation des Konkubinatspartners ist aus den Akten nicht ersichtlich. Ohne hinreichende Abklärung des betreibungsrechtlichen Existenzminimums kommt die Beschwerdegegnerin zum Schluss, dass weder bei der Beschwerdeführerin noch beim Konkubinatspartner eine grosse Härte vorliege. Bei der Frage des Erlasses bzw. bei der Ermittlung der finanziellen Verhältnisse der Beschwerdeführerin ist auf die gesamte wirtschaftliche Situation abzustellen und nicht allein anhand des Erwerbseinkommens des einen oder anderen Partners zu beurteilen. Massgebend gewesen wäre die wirtschaftliche Situation der Lebensgemeinschaft. 2.3   Wie die Beschwerdeführerin geltend macht, haben sich ihre persönlichen Verhältnisse zwischenzeitlich wesentlich verändert. Weil ihr Verhältnis zum Kindsvater zunehmend angespannt gewesen sei, habe sie per 1. Dezember 2008 mit ihrem Sohn eine eigene Wohnung bezogen. Damit stellt sich die Frage, ob die veränderten Umstände bei der Ermittlung des betreibungsrechtlichen Existenzminimums zu berücksichtigen sind bzw. zu welchem Zeitpunkt eine grosse Härte gegeben sein muss. Grundsätzlich ist bei der Beurteilung auf die wirtschaftlichen Verhältnisse der Schuldnerin abzustellen, die im Zeitpunkt gegeben sind, da sie bezahlen sollte (BGE 113 V 254 = ZAK 1988 S. 117, Erw. 4b; BGE 104 V 61 f. = ZAK 1978 S. 511; ZAK 1981 S. 545, E. 2a). In den zitierten Entscheiden ist dies der Zeitpunkt, in welchem die Verfügung über das Herabsetzungsgesuch von AHV/IV/EO-Beiträgen in Rechtskraft erwächst und gegebenenfalls jener, in welchem die kantonalen Rekursbehörden oder das EVG über eine solche Herabsetzung entscheidet. In diesem Zusammenhang können ausnahmsweise nach Verfügungserlass oder des vorinstanzlichen Entscheids eingetretene neue Tatsachen berücksichtigt werden (BGE 120 V 271 [Übersetzung in AHI-Praxis 4/1995 S. 155 f.]). Im Erlassverfahren von AHV/IV/EO-Mindestbeiträgen rechtfertigt sich eine analoge Anwendung und demnach ist vorliegend für die Beurteilung der grossen Härte der Zeitpunkt massgebend, in welchem das Erlassgesuch in Rechtskraft erwächst. Ein Abstützen auf die aktuellen ökonomischen Verhältnisse bei wesentlicher Veränderung der persönlichen Umstände erscheint im Ergebnis berechtigt. Schliesslich setzt der Erlass von Mindestbeiträgen eine wirtschaftliche Notlage der Beschwerdeführerin voraus, weshalb weit zurückliegende Verhältnisse nicht entscheidend sein können. Der angefochtene Entscheid lässt sich bei diesen Gegebenheiten nicht aufrecht erhalten.</w:t>
      </w:r>
    </w:p>
    <w:p>
      <w:r>
        <w:rPr>
          <w:b/>
        </w:rPr>
        <w:t>E. 3</w:t>
      </w:r>
    </w:p>
    <w:p>
      <w:r>
        <w:t>Im Sinn der vorstehenden Erwägungen ist die Beschwerde unter Aufhebung des angefochtenen Einspracheentscheids teilweise gutzuheissen und die Angelegenheit zur Vornahme weiterer Abklärungen der grossen Härte, das heisst zur Ermittlung des betreibungsrechtlichen Existenzminimums und zu neuer Verfügung an die Beschwerdegegnerin zurückzuweisen. Gerichtskosten sind keine zu erheben (Art. 61 lit. a ATSG). Demgemäss hat das Versicherungsgericht im Zirkulationsverfahren gemäss Art. 53 GerG entschieden: 1.      In teilweiser Gutheissung der Beschwerde wird der Einspracheentscheid vom 12. November 2008 aufgehoben und die Angelegenheit zur Vornahme weiterer Abklärungen und zu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